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bookmarkStart w:id="0" w:name="_GoBack"/>
      <w:bookmarkEnd w:id="0"/>
      <w:r w:rsidRPr="00FD2156"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2017. november 3-30.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„Emberközpontú tudomány”</w:t>
      </w:r>
    </w:p>
    <w:p w:rsidR="0018070A" w:rsidRDefault="0018070A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5373A5" w:rsidRPr="000319E3" w:rsidRDefault="00293F26" w:rsidP="001925C2">
            <w:r>
              <w:t xml:space="preserve">„Őszi piknik” </w:t>
            </w:r>
            <w:r w:rsidR="00250822">
              <w:t xml:space="preserve">– </w:t>
            </w:r>
            <w:r w:rsidR="001925C2">
              <w:t xml:space="preserve">hallgatói workshop az „ember és </w:t>
            </w:r>
            <w:r w:rsidR="00DB2F8E">
              <w:t>(</w:t>
            </w:r>
            <w:r w:rsidR="001925C2">
              <w:t>szabályozás</w:t>
            </w:r>
            <w:r w:rsidR="00DB2F8E">
              <w:t>i) környezete</w:t>
            </w:r>
            <w:r w:rsidR="001925C2">
              <w:t>” példáiból</w:t>
            </w:r>
          </w:p>
        </w:tc>
      </w:tr>
      <w:tr w:rsidR="0018070A" w:rsidTr="008112CE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A037BF" w:rsidP="00E77D31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workshop stb.)</w:t>
            </w:r>
          </w:p>
        </w:tc>
        <w:tc>
          <w:tcPr>
            <w:tcW w:w="3194" w:type="pct"/>
          </w:tcPr>
          <w:p w:rsidR="0018070A" w:rsidRPr="000319E3" w:rsidRDefault="007023DE" w:rsidP="003B1155">
            <w:r>
              <w:t>hallgatói workshop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Pr="000319E3" w:rsidRDefault="00293F26" w:rsidP="003B1155">
            <w:r>
              <w:t>Állam- és jogtudomány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0319E3" w:rsidRDefault="007023DE" w:rsidP="003B1155">
            <w:r>
              <w:t>2017. november 16.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FD6390" w:rsidRPr="000319E3" w:rsidRDefault="00293F26" w:rsidP="003B1155">
            <w:r>
              <w:t>Debreceni Egyetem, Állam és Jogtudományi Kar, 4028 Debrecen, Kassai út 26.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Szervező intézmény(ek)</w:t>
            </w:r>
          </w:p>
        </w:tc>
        <w:tc>
          <w:tcPr>
            <w:tcW w:w="3194" w:type="pct"/>
          </w:tcPr>
          <w:p w:rsidR="003B1155" w:rsidRPr="000319E3" w:rsidRDefault="00293F26" w:rsidP="003B1155">
            <w:r>
              <w:t>MTA-DE Közszolgáltatási Kutatócsoport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3B1155" w:rsidRPr="000319E3" w:rsidRDefault="00293F26" w:rsidP="003B1155">
            <w:r>
              <w:t>Dr. Bordás Péter, bordas.peter@law.unideb.hu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Pr="000319E3" w:rsidRDefault="00293F26" w:rsidP="003B1155">
            <w:r w:rsidRPr="00293F26">
              <w:t>https://jog.unideb.hu/hu/node/190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:rsidR="00F63878" w:rsidRPr="005373A5" w:rsidRDefault="00F63878" w:rsidP="00F63878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color w:val="404040" w:themeColor="text1" w:themeTint="BF"/>
                <w:sz w:val="20"/>
                <w:szCs w:val="20"/>
              </w:rPr>
              <w:t>legfeljebb 1000 karakter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F63878" w:rsidRPr="000319E3" w:rsidRDefault="00293F26" w:rsidP="001925C2">
            <w:pPr>
              <w:jc w:val="both"/>
            </w:pPr>
            <w:r>
              <w:t>A rendezvény célja, hogy az ember és a tudomány kapcsolatát a hallgatók által végzett kutatásokon keresztül szemléltesse.</w:t>
            </w:r>
            <w:r w:rsidR="001925C2">
              <w:t xml:space="preserve"> A tudományos kut</w:t>
            </w:r>
            <w:r w:rsidR="004C3F18">
              <w:t>atás egyik fontos elemét képezi</w:t>
            </w:r>
            <w:r w:rsidR="001925C2">
              <w:t xml:space="preserve"> az embereket közvetlenül és közvetve érintő állami szabályozási eszközök vizsgálata.</w:t>
            </w:r>
            <w:r>
              <w:t xml:space="preserve"> Az MTA DE Közszolgáltatási Kutatócsoport munkájában több graduális és doktori képzést folytató hallgató is részt vesz. A kutatás témáját a kormányzás mai kihívásai adják, melyet (köz)szolgáltatásszervezési, valamint jogi oldalról közelítünk meg. A hallgatók nem csak fiatalos szemléletmódot, eltérő szakmai álláspontot, hanem komoly szakmai elkötelezettséget képviselnek munkánk során. Az egyes szakpolitikák feltárásával arra a kérdésre keresik előadásaikban a választ, hogy milyen problémakörökkel szembesül a kormány, s rajtuk</w:t>
            </w:r>
            <w:r w:rsidR="004C3F18">
              <w:t xml:space="preserve"> keresztül a társadalom. Egy</w:t>
            </w:r>
            <w:r>
              <w:t xml:space="preserve"> kötetlen szakmai diskurzus mellett</w:t>
            </w:r>
            <w:r w:rsidR="00250822">
              <w:t>, piknik jelleget kölcsönözve az esem</w:t>
            </w:r>
            <w:r w:rsidR="004C3F18">
              <w:t>énynek kerül „terítékre” a tudomány</w:t>
            </w:r>
            <w:r w:rsidR="00250822">
              <w:t>.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lastRenderedPageBreak/>
              <w:t>A rendezvény program</w:t>
            </w:r>
            <w:r w:rsidR="003B5AE4">
              <w:rPr>
                <w:b/>
                <w:color w:val="404040" w:themeColor="text1" w:themeTint="BF"/>
                <w:sz w:val="22"/>
              </w:rPr>
              <w:t>terve</w:t>
            </w:r>
          </w:p>
          <w:p w:rsidR="003B1155" w:rsidRPr="001E5CDE" w:rsidRDefault="003B1155" w:rsidP="005373A5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:rsidR="003B1155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3194" w:type="pct"/>
          </w:tcPr>
          <w:p w:rsidR="005373A5" w:rsidRDefault="005373A5" w:rsidP="003B1155"/>
          <w:p w:rsidR="001925C2" w:rsidRDefault="001925C2" w:rsidP="003B1155">
            <w:r>
              <w:t>15:00 Megnyitó</w:t>
            </w:r>
          </w:p>
          <w:p w:rsidR="001925C2" w:rsidRDefault="001925C2" w:rsidP="003B1155">
            <w:r>
              <w:t>15:10 Workshop: az MTA DE Közszolgáltatási Kutatócsoportban résztvevő joghallgatók és doktoranduszok szakmai előadásai különböző szabályozási témákban (például: Uber, közösség alapú gazdaság, menekültválság, energiapolitika, stb.)</w:t>
            </w:r>
          </w:p>
          <w:p w:rsidR="001925C2" w:rsidRPr="000319E3" w:rsidRDefault="001925C2" w:rsidP="003B1155">
            <w:r>
              <w:t>16:30 Vita, zárszó</w:t>
            </w:r>
          </w:p>
        </w:tc>
      </w:tr>
    </w:tbl>
    <w:p w:rsidR="007E469C" w:rsidRDefault="007E469C"/>
    <w:sectPr w:rsidR="007E469C" w:rsidSect="00573A6E">
      <w:footerReference w:type="default" r:id="rId6"/>
      <w:pgSz w:w="11906" w:h="16838" w:code="9"/>
      <w:pgMar w:top="737" w:right="1134" w:bottom="567" w:left="1134" w:header="709" w:footer="34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0A" w:rsidRDefault="004A380A" w:rsidP="007E469C">
      <w:pPr>
        <w:spacing w:line="240" w:lineRule="auto"/>
      </w:pPr>
      <w:r>
        <w:separator/>
      </w:r>
    </w:p>
  </w:endnote>
  <w:endnote w:type="continuationSeparator" w:id="0">
    <w:p w:rsidR="004A380A" w:rsidRDefault="004A380A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990897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="007E469C"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405DC1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0A" w:rsidRDefault="004A380A" w:rsidP="007E469C">
      <w:pPr>
        <w:spacing w:line="240" w:lineRule="auto"/>
      </w:pPr>
      <w:r>
        <w:separator/>
      </w:r>
    </w:p>
  </w:footnote>
  <w:footnote w:type="continuationSeparator" w:id="0">
    <w:p w:rsidR="004A380A" w:rsidRDefault="004A380A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319E3"/>
    <w:rsid w:val="00084C68"/>
    <w:rsid w:val="000C1102"/>
    <w:rsid w:val="000C73B0"/>
    <w:rsid w:val="001464C5"/>
    <w:rsid w:val="0018070A"/>
    <w:rsid w:val="001925C2"/>
    <w:rsid w:val="001B45D1"/>
    <w:rsid w:val="001E5CDE"/>
    <w:rsid w:val="0022659D"/>
    <w:rsid w:val="00250822"/>
    <w:rsid w:val="002602AA"/>
    <w:rsid w:val="002769AF"/>
    <w:rsid w:val="0028229D"/>
    <w:rsid w:val="00293F26"/>
    <w:rsid w:val="00295A33"/>
    <w:rsid w:val="002B4E5D"/>
    <w:rsid w:val="00396A10"/>
    <w:rsid w:val="003B1155"/>
    <w:rsid w:val="003B5AE4"/>
    <w:rsid w:val="003E6B04"/>
    <w:rsid w:val="00405DC1"/>
    <w:rsid w:val="00453DEA"/>
    <w:rsid w:val="004A2616"/>
    <w:rsid w:val="004A380A"/>
    <w:rsid w:val="004B6ADD"/>
    <w:rsid w:val="004C3F18"/>
    <w:rsid w:val="004F3F22"/>
    <w:rsid w:val="005373A5"/>
    <w:rsid w:val="00573A6E"/>
    <w:rsid w:val="007023DE"/>
    <w:rsid w:val="00764D73"/>
    <w:rsid w:val="00792F97"/>
    <w:rsid w:val="007A62BA"/>
    <w:rsid w:val="007E469C"/>
    <w:rsid w:val="008112CE"/>
    <w:rsid w:val="00841839"/>
    <w:rsid w:val="00990897"/>
    <w:rsid w:val="009F4470"/>
    <w:rsid w:val="00A037BF"/>
    <w:rsid w:val="00AB6723"/>
    <w:rsid w:val="00AC2729"/>
    <w:rsid w:val="00AE15C5"/>
    <w:rsid w:val="00AE34AC"/>
    <w:rsid w:val="00B71798"/>
    <w:rsid w:val="00BA518C"/>
    <w:rsid w:val="00C23EA6"/>
    <w:rsid w:val="00C26DF0"/>
    <w:rsid w:val="00C46B88"/>
    <w:rsid w:val="00D25B70"/>
    <w:rsid w:val="00DB2F8E"/>
    <w:rsid w:val="00DB79FD"/>
    <w:rsid w:val="00E77D31"/>
    <w:rsid w:val="00F63878"/>
    <w:rsid w:val="00FD2156"/>
    <w:rsid w:val="00FD6390"/>
    <w:rsid w:val="00FF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B6BF36-1A2A-467A-A592-41F28297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08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Fazekas Zoltán</cp:lastModifiedBy>
  <cp:revision>2</cp:revision>
  <cp:lastPrinted>2017-09-13T07:52:00Z</cp:lastPrinted>
  <dcterms:created xsi:type="dcterms:W3CDTF">2017-10-19T12:53:00Z</dcterms:created>
  <dcterms:modified xsi:type="dcterms:W3CDTF">2017-10-19T12:53:00Z</dcterms:modified>
</cp:coreProperties>
</file>